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945"/>
        <w:tblW w:w="0" w:type="auto"/>
        <w:tblLook w:val="04A0" w:firstRow="1" w:lastRow="0" w:firstColumn="1" w:lastColumn="0" w:noHBand="0" w:noVBand="1"/>
      </w:tblPr>
      <w:tblGrid>
        <w:gridCol w:w="9016"/>
      </w:tblGrid>
      <w:tr w:rsidR="00EA1399" w:rsidTr="00EA1399">
        <w:tc>
          <w:tcPr>
            <w:tcW w:w="9242" w:type="dxa"/>
          </w:tcPr>
          <w:p w:rsidR="00EA1399" w:rsidRPr="00CA7472" w:rsidRDefault="00EA1399" w:rsidP="00EA1399">
            <w:pPr>
              <w:pStyle w:val="Header"/>
              <w:rPr>
                <w:rFonts w:ascii="Verdana" w:hAnsi="Verdana"/>
                <w:b/>
                <w:sz w:val="36"/>
                <w:szCs w:val="36"/>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p w:rsidR="00EA1399" w:rsidRDefault="00EA1399" w:rsidP="00EA1399"/>
        </w:tc>
      </w:tr>
    </w:tbl>
    <w:p w:rsidR="00EA1399" w:rsidRPr="00EA1399" w:rsidRDefault="00EA1399">
      <w:pPr>
        <w:rPr>
          <w:b/>
        </w:rPr>
      </w:pPr>
      <w:r w:rsidRPr="00EA1399">
        <w:rPr>
          <w:b/>
        </w:rPr>
        <w:t xml:space="preserve">Fairfield Medical Centre </w:t>
      </w:r>
    </w:p>
    <w:tbl>
      <w:tblPr>
        <w:tblStyle w:val="TableGrid"/>
        <w:tblW w:w="0" w:type="auto"/>
        <w:tblLook w:val="04A0" w:firstRow="1" w:lastRow="0" w:firstColumn="1" w:lastColumn="0" w:noHBand="0" w:noVBand="1"/>
      </w:tblPr>
      <w:tblGrid>
        <w:gridCol w:w="9016"/>
      </w:tblGrid>
      <w:tr w:rsidR="00EA1399" w:rsidTr="00EA1399">
        <w:tc>
          <w:tcPr>
            <w:tcW w:w="9242" w:type="dxa"/>
          </w:tcPr>
          <w:p w:rsidR="00EA1399" w:rsidRDefault="00EA1399" w:rsidP="00EA1399">
            <w:pPr>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A75CE2">
              <w:rPr>
                <w:rFonts w:ascii="Times New Roman" w:hAnsi="Times New Roman"/>
                <w:color w:val="000000"/>
                <w:sz w:val="28"/>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EA1399" w:rsidRPr="002A1FE8" w:rsidRDefault="00EA1399" w:rsidP="00EA1399">
            <w:pPr>
              <w:rPr>
                <w:rFonts w:ascii="Times New Roman" w:hAnsi="Times New Roman"/>
                <w:color w:val="000000"/>
                <w:sz w:val="28"/>
                <w:szCs w:val="24"/>
                <w:lang w:eastAsia="en-GB"/>
              </w:rPr>
            </w:pPr>
          </w:p>
          <w:p w:rsidR="00EA1399" w:rsidRPr="002A1FE8" w:rsidRDefault="00EA1399" w:rsidP="00EA1399">
            <w:pPr>
              <w:pStyle w:val="NormalWeb"/>
              <w:spacing w:before="0" w:beforeAutospacing="0" w:after="0" w:afterAutospacing="0"/>
              <w:rPr>
                <w:color w:val="000000"/>
                <w:sz w:val="28"/>
              </w:rPr>
            </w:pPr>
            <w:r w:rsidRPr="00045325">
              <w:rPr>
                <w:sz w:val="28"/>
                <w:szCs w:val="28"/>
              </w:rPr>
              <w:t>When registering for NHS care, a</w:t>
            </w:r>
            <w:r w:rsidRPr="00045325">
              <w:rPr>
                <w:sz w:val="28"/>
              </w:rPr>
              <w:t>ll</w:t>
            </w:r>
            <w:r w:rsidRPr="002A1FE8">
              <w:rPr>
                <w:sz w:val="28"/>
              </w:rPr>
              <w:t xml:space="preserve"> patients who receive NHS care are registered on a national database, the database is held by </w:t>
            </w:r>
            <w:r>
              <w:rPr>
                <w:sz w:val="28"/>
              </w:rPr>
              <w:t xml:space="preserve">NHS England </w:t>
            </w:r>
            <w:r w:rsidRPr="002A1FE8">
              <w:rPr>
                <w:sz w:val="28"/>
              </w:rPr>
              <w:t>a national organisation which has legal responsibilities to collect NHS</w:t>
            </w:r>
          </w:p>
          <w:p w:rsidR="00EA1399" w:rsidRPr="002A1FE8" w:rsidRDefault="00EA1399" w:rsidP="00EA1399">
            <w:pPr>
              <w:rPr>
                <w:rFonts w:ascii="Times New Roman" w:hAnsi="Times New Roman"/>
                <w:color w:val="000000"/>
                <w:sz w:val="28"/>
                <w:szCs w:val="24"/>
                <w:lang w:eastAsia="en-GB"/>
              </w:rPr>
            </w:pPr>
          </w:p>
          <w:p w:rsidR="00EA1399" w:rsidRPr="00A75CE2" w:rsidRDefault="00EA1399" w:rsidP="00EA1399">
            <w:pPr>
              <w:rPr>
                <w:rFonts w:ascii="Times New Roman" w:hAnsi="Times New Roman"/>
                <w:color w:val="000000"/>
                <w:sz w:val="28"/>
                <w:szCs w:val="24"/>
                <w:lang w:eastAsia="en-GB"/>
              </w:rPr>
            </w:pPr>
            <w:r w:rsidRPr="00A75CE2">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w:t>
            </w:r>
            <w:r>
              <w:rPr>
                <w:rFonts w:ascii="Times New Roman" w:hAnsi="Times New Roman"/>
                <w:color w:val="000000"/>
                <w:sz w:val="28"/>
                <w:szCs w:val="24"/>
                <w:lang w:eastAsia="en-GB"/>
              </w:rPr>
              <w:t>s.</w:t>
            </w:r>
          </w:p>
          <w:p w:rsidR="00EA1399" w:rsidRDefault="00EA1399" w:rsidP="00EA1399">
            <w:pPr>
              <w:rPr>
                <w:rFonts w:ascii="Times New Roman" w:hAnsi="Times New Roman"/>
                <w:color w:val="000000"/>
                <w:sz w:val="28"/>
                <w:szCs w:val="24"/>
                <w:lang w:eastAsia="en-GB"/>
              </w:rPr>
            </w:pPr>
            <w:r w:rsidRPr="00A75CE2">
              <w:rPr>
                <w:rFonts w:ascii="Times New Roman" w:hAnsi="Times New Roman"/>
                <w:color w:val="000000"/>
                <w:sz w:val="28"/>
                <w:szCs w:val="24"/>
                <w:lang w:eastAsia="en-GB"/>
              </w:rPr>
              <w:t>If your health needs require care from others elsewhere outside this practice we will exchange with them whatever information about you that is necessary for them to provide that care.</w:t>
            </w:r>
            <w:r>
              <w:rPr>
                <w:rFonts w:ascii="Times New Roman" w:hAnsi="Times New Roman"/>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EA1399" w:rsidRDefault="00EA1399" w:rsidP="00EA1399">
            <w:pPr>
              <w:rPr>
                <w:rFonts w:ascii="Times New Roman" w:hAnsi="Times New Roman"/>
                <w:color w:val="000000"/>
                <w:sz w:val="28"/>
                <w:szCs w:val="24"/>
                <w:lang w:eastAsia="en-GB"/>
              </w:rPr>
            </w:pPr>
          </w:p>
          <w:p w:rsidR="00EA1399" w:rsidRDefault="00EA1399" w:rsidP="00EA1399">
            <w:pPr>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rsidR="00EA1399" w:rsidRDefault="00EA1399" w:rsidP="00EA1399">
            <w:pPr>
              <w:rPr>
                <w:rFonts w:ascii="Times New Roman" w:hAnsi="Times New Roman"/>
                <w:color w:val="000000"/>
                <w:sz w:val="28"/>
                <w:szCs w:val="24"/>
                <w:lang w:eastAsia="en-GB"/>
              </w:rPr>
            </w:pPr>
          </w:p>
          <w:p w:rsidR="00EA1399" w:rsidRDefault="00EA1399" w:rsidP="00EA1399">
            <w:pPr>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EA1399" w:rsidRDefault="00EA1399" w:rsidP="00EA1399">
            <w:pPr>
              <w:rPr>
                <w:rFonts w:ascii="Times New Roman" w:hAnsi="Times New Roman"/>
                <w:color w:val="000000"/>
                <w:sz w:val="28"/>
                <w:szCs w:val="24"/>
                <w:lang w:eastAsia="en-GB"/>
              </w:rPr>
            </w:pPr>
          </w:p>
          <w:p w:rsidR="00EA1399" w:rsidRDefault="00EA1399" w:rsidP="00EA1399">
            <w:pPr>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 but we have an overriding responsibility to do what is in your best interests. Please see below.</w:t>
            </w:r>
          </w:p>
          <w:p w:rsidR="00EA1399" w:rsidRDefault="00EA1399" w:rsidP="00EA1399">
            <w:pPr>
              <w:rPr>
                <w:rFonts w:ascii="Times New Roman" w:hAnsi="Times New Roman"/>
                <w:color w:val="000000"/>
                <w:sz w:val="28"/>
                <w:szCs w:val="24"/>
                <w:lang w:eastAsia="en-GB"/>
              </w:rPr>
            </w:pPr>
          </w:p>
          <w:p w:rsidR="00EA1399" w:rsidRDefault="00EA1399" w:rsidP="00EA1399">
            <w:pPr>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rsidR="00EA1399" w:rsidRDefault="00EA1399"/>
        </w:tc>
      </w:tr>
    </w:tbl>
    <w:p w:rsidR="00EA1399" w:rsidRDefault="00EA1399"/>
    <w:p w:rsidR="00EA1399" w:rsidRDefault="00EA1399"/>
    <w:tbl>
      <w:tblPr>
        <w:tblStyle w:val="TableGrid"/>
        <w:tblW w:w="0" w:type="auto"/>
        <w:tblLook w:val="04A0" w:firstRow="1" w:lastRow="0" w:firstColumn="1" w:lastColumn="0" w:noHBand="0" w:noVBand="1"/>
      </w:tblPr>
      <w:tblGrid>
        <w:gridCol w:w="1778"/>
        <w:gridCol w:w="7238"/>
      </w:tblGrid>
      <w:tr w:rsidR="00EA1399" w:rsidTr="00EA1399">
        <w:tc>
          <w:tcPr>
            <w:tcW w:w="1809" w:type="dxa"/>
          </w:tcPr>
          <w:p w:rsidR="00EA1399" w:rsidRPr="00EA1399" w:rsidRDefault="00EA1399" w:rsidP="00557B3D">
            <w:pPr>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tc>
        <w:tc>
          <w:tcPr>
            <w:tcW w:w="7433" w:type="dxa"/>
          </w:tcPr>
          <w:p w:rsidR="00725DCD" w:rsidRDefault="00725DCD" w:rsidP="00725DCD">
            <w:pPr>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E7381C" w:rsidRDefault="00E7381C" w:rsidP="00E7381C">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E7381C" w:rsidRDefault="00E7381C" w:rsidP="00E7381C">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E7381C" w:rsidRPr="00B7041D" w:rsidRDefault="00E7381C" w:rsidP="00E7381C">
            <w:pPr>
              <w:rPr>
                <w:rFonts w:ascii="Times New Roman" w:hAnsi="Times New Roman"/>
                <w:color w:val="000000"/>
                <w:sz w:val="24"/>
                <w:szCs w:val="24"/>
                <w:lang w:eastAsia="en-GB"/>
              </w:rPr>
            </w:pPr>
            <w:r>
              <w:rPr>
                <w:rFonts w:ascii="Times New Roman" w:hAnsi="Times New Roman"/>
                <w:color w:val="000000"/>
                <w:sz w:val="24"/>
                <w:szCs w:val="24"/>
                <w:lang w:eastAsia="en-GB"/>
              </w:rPr>
              <w:t>L6 3BY</w:t>
            </w:r>
          </w:p>
          <w:p w:rsidR="00EA1399" w:rsidRDefault="00EA1399"/>
        </w:tc>
      </w:tr>
      <w:tr w:rsidR="00EA1399" w:rsidTr="00EA1399">
        <w:tc>
          <w:tcPr>
            <w:tcW w:w="1809" w:type="dxa"/>
          </w:tcPr>
          <w:p w:rsidR="00EA1399" w:rsidRPr="008B3F9E" w:rsidRDefault="00EA1399" w:rsidP="00557B3D">
            <w:pPr>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rsidR="00EA1399" w:rsidRPr="008B3F9E" w:rsidRDefault="00EA1399" w:rsidP="00557B3D">
            <w:pPr>
              <w:rPr>
                <w:rFonts w:ascii="Times New Roman" w:hAnsi="Times New Roman"/>
                <w:color w:val="000000"/>
                <w:sz w:val="24"/>
                <w:szCs w:val="24"/>
                <w:lang w:eastAsia="en-GB"/>
              </w:rPr>
            </w:pPr>
          </w:p>
        </w:tc>
        <w:tc>
          <w:tcPr>
            <w:tcW w:w="7433" w:type="dxa"/>
          </w:tcPr>
          <w:p w:rsidR="00E7381C" w:rsidRPr="00EA2913" w:rsidRDefault="00FE4479" w:rsidP="00E7381C">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E7381C" w:rsidRDefault="00E7381C"/>
        </w:tc>
      </w:tr>
      <w:tr w:rsidR="00EA1399" w:rsidTr="00EA1399">
        <w:tc>
          <w:tcPr>
            <w:tcW w:w="1809"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3) </w:t>
            </w:r>
            <w:r w:rsidRPr="00557B3D">
              <w:rPr>
                <w:rFonts w:ascii="Times New Roman" w:hAnsi="Times New Roman"/>
                <w:b/>
                <w:color w:val="000000"/>
                <w:sz w:val="24"/>
                <w:szCs w:val="24"/>
                <w:lang w:eastAsia="en-GB"/>
              </w:rPr>
              <w:t>Purpose</w:t>
            </w:r>
            <w:r w:rsidRPr="00557B3D">
              <w:rPr>
                <w:rFonts w:ascii="Times New Roman" w:hAnsi="Times New Roman"/>
                <w:color w:val="000000"/>
                <w:sz w:val="24"/>
                <w:szCs w:val="24"/>
                <w:lang w:eastAsia="en-GB"/>
              </w:rPr>
              <w:t xml:space="preserve"> of the  processing</w:t>
            </w:r>
          </w:p>
        </w:tc>
        <w:tc>
          <w:tcPr>
            <w:tcW w:w="7433" w:type="dxa"/>
          </w:tcPr>
          <w:p w:rsidR="00EA1399" w:rsidRDefault="00EA1399">
            <w:r w:rsidRPr="00557B3D">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EA1399" w:rsidTr="00EA1399">
        <w:tc>
          <w:tcPr>
            <w:tcW w:w="1809"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4) </w:t>
            </w:r>
            <w:r w:rsidRPr="00557B3D">
              <w:rPr>
                <w:rFonts w:ascii="Times New Roman" w:hAnsi="Times New Roman"/>
                <w:b/>
                <w:color w:val="000000"/>
                <w:sz w:val="24"/>
                <w:szCs w:val="24"/>
                <w:lang w:eastAsia="en-GB"/>
              </w:rPr>
              <w:t>Lawful basis</w:t>
            </w:r>
            <w:r w:rsidRPr="00557B3D">
              <w:rPr>
                <w:rFonts w:ascii="Times New Roman" w:hAnsi="Times New Roman"/>
                <w:color w:val="000000"/>
                <w:sz w:val="24"/>
                <w:szCs w:val="24"/>
                <w:lang w:eastAsia="en-GB"/>
              </w:rPr>
              <w:t xml:space="preserve"> for  processing</w:t>
            </w:r>
          </w:p>
        </w:tc>
        <w:tc>
          <w:tcPr>
            <w:tcW w:w="7433"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557B3D">
              <w:rPr>
                <w:rFonts w:ascii="Times New Roman" w:hAnsi="Times New Roman"/>
                <w:color w:val="000000"/>
                <w:sz w:val="24"/>
                <w:szCs w:val="24"/>
                <w:lang w:eastAsia="en-GB"/>
              </w:rPr>
              <w:t xml:space="preserve"> is supported under the following Article 6 and 9 conditions of the GDPR:</w:t>
            </w:r>
          </w:p>
          <w:p w:rsidR="00EA1399" w:rsidRPr="00557B3D" w:rsidRDefault="00EA1399" w:rsidP="00557B3D">
            <w:pPr>
              <w:ind w:left="720"/>
              <w:rPr>
                <w:rFonts w:ascii="Times New Roman" w:hAnsi="Times New Roman"/>
                <w:i/>
                <w:sz w:val="24"/>
                <w:szCs w:val="24"/>
              </w:rPr>
            </w:pPr>
            <w:r w:rsidRPr="00557B3D">
              <w:rPr>
                <w:rFonts w:ascii="Times New Roman" w:hAnsi="Times New Roman"/>
                <w:i/>
                <w:color w:val="000000"/>
                <w:sz w:val="24"/>
                <w:szCs w:val="24"/>
                <w:lang w:eastAsia="en-GB"/>
              </w:rPr>
              <w:t xml:space="preserve">Article </w:t>
            </w:r>
            <w:r w:rsidRPr="00557B3D">
              <w:rPr>
                <w:rFonts w:ascii="Times New Roman" w:hAnsi="Times New Roman"/>
                <w:i/>
                <w:sz w:val="24"/>
                <w:szCs w:val="24"/>
              </w:rPr>
              <w:t>6(1)(e) ‘…necessary for the performance of a task carried out in the public interest or in the exercise of official authority…’.</w:t>
            </w:r>
          </w:p>
          <w:p w:rsidR="00EA1399" w:rsidRPr="00557B3D" w:rsidRDefault="00EA1399" w:rsidP="00557B3D">
            <w:pPr>
              <w:ind w:left="720"/>
              <w:rPr>
                <w:rFonts w:ascii="Times New Roman" w:hAnsi="Times New Roman"/>
                <w:i/>
                <w:color w:val="000000"/>
                <w:sz w:val="24"/>
                <w:szCs w:val="24"/>
              </w:rPr>
            </w:pPr>
            <w:r w:rsidRPr="00557B3D">
              <w:rPr>
                <w:rFonts w:ascii="Times New Roman" w:hAnsi="Times New Roman"/>
                <w:i/>
                <w:color w:val="000000"/>
                <w:sz w:val="24"/>
                <w:szCs w:val="24"/>
                <w:lang w:eastAsia="en-GB"/>
              </w:rPr>
              <w:t>Article 9(2)(h)</w:t>
            </w:r>
            <w:r w:rsidRPr="00557B3D">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EA1399" w:rsidRPr="00557B3D" w:rsidRDefault="00EA1399" w:rsidP="00557B3D">
            <w:pPr>
              <w:rPr>
                <w:rFonts w:ascii="Times New Roman" w:hAnsi="Times New Roman"/>
                <w:color w:val="000000"/>
                <w:sz w:val="24"/>
                <w:szCs w:val="24"/>
              </w:rPr>
            </w:pPr>
          </w:p>
          <w:p w:rsidR="00EA1399" w:rsidRPr="008B3F9E" w:rsidRDefault="00EA1399" w:rsidP="00557B3D">
            <w:pPr>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EA1399" w:rsidTr="00EA1399">
        <w:tc>
          <w:tcPr>
            <w:tcW w:w="1809"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5) </w:t>
            </w:r>
            <w:r w:rsidRPr="00557B3D">
              <w:rPr>
                <w:rFonts w:ascii="Times New Roman" w:hAnsi="Times New Roman"/>
                <w:b/>
                <w:color w:val="000000"/>
                <w:sz w:val="24"/>
                <w:szCs w:val="24"/>
                <w:lang w:eastAsia="en-GB"/>
              </w:rPr>
              <w:t xml:space="preserve">Recipient or categories of recipients </w:t>
            </w:r>
            <w:r w:rsidRPr="00557B3D">
              <w:rPr>
                <w:rFonts w:ascii="Times New Roman" w:hAnsi="Times New Roman"/>
                <w:color w:val="000000"/>
                <w:sz w:val="24"/>
                <w:szCs w:val="24"/>
                <w:lang w:eastAsia="en-GB"/>
              </w:rPr>
              <w:t>of the processed data</w:t>
            </w:r>
          </w:p>
        </w:tc>
        <w:tc>
          <w:tcPr>
            <w:tcW w:w="7433" w:type="dxa"/>
          </w:tcPr>
          <w:p w:rsidR="00EA1399" w:rsidRPr="008B3F9E" w:rsidRDefault="00EA1399" w:rsidP="00321838">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The data will be shared with Health and care professionals and support staff in this surgery and at hospitals, diagnostic and treatment centres who contribute to your personal care</w:t>
            </w:r>
          </w:p>
        </w:tc>
      </w:tr>
      <w:tr w:rsidR="00EA1399" w:rsidTr="00EA1399">
        <w:tc>
          <w:tcPr>
            <w:tcW w:w="1809"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6) </w:t>
            </w:r>
            <w:r w:rsidRPr="00557B3D">
              <w:rPr>
                <w:rFonts w:ascii="Times New Roman" w:hAnsi="Times New Roman"/>
                <w:b/>
                <w:color w:val="000000"/>
                <w:sz w:val="24"/>
                <w:szCs w:val="24"/>
                <w:lang w:eastAsia="en-GB"/>
              </w:rPr>
              <w:t>Rights to object</w:t>
            </w:r>
            <w:r w:rsidRPr="00557B3D">
              <w:rPr>
                <w:rFonts w:ascii="Times New Roman" w:hAnsi="Times New Roman"/>
                <w:color w:val="000000"/>
                <w:sz w:val="24"/>
                <w:szCs w:val="24"/>
                <w:lang w:eastAsia="en-GB"/>
              </w:rPr>
              <w:t xml:space="preserve"> </w:t>
            </w:r>
          </w:p>
        </w:tc>
        <w:tc>
          <w:tcPr>
            <w:tcW w:w="7433" w:type="dxa"/>
          </w:tcPr>
          <w:p w:rsidR="00EA1399" w:rsidRPr="008B3F9E"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You have the right to object to some or all the information being processed under Article 21. Please 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EA1399" w:rsidTr="00EA1399">
        <w:tc>
          <w:tcPr>
            <w:tcW w:w="1809"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7) </w:t>
            </w:r>
            <w:r w:rsidRPr="00557B3D">
              <w:rPr>
                <w:rFonts w:ascii="Times New Roman" w:hAnsi="Times New Roman"/>
                <w:b/>
                <w:color w:val="000000"/>
                <w:sz w:val="24"/>
                <w:szCs w:val="24"/>
                <w:lang w:eastAsia="en-GB"/>
              </w:rPr>
              <w:t>Right to access and correct</w:t>
            </w:r>
          </w:p>
        </w:tc>
        <w:tc>
          <w:tcPr>
            <w:tcW w:w="7433"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EA1399" w:rsidTr="00EA1399">
        <w:tc>
          <w:tcPr>
            <w:tcW w:w="1809"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8</w:t>
            </w:r>
            <w:r w:rsidRPr="00557B3D">
              <w:rPr>
                <w:rFonts w:ascii="Times New Roman" w:hAnsi="Times New Roman"/>
                <w:b/>
                <w:color w:val="000000"/>
                <w:sz w:val="24"/>
                <w:szCs w:val="24"/>
                <w:lang w:eastAsia="en-GB"/>
              </w:rPr>
              <w:t>) Retention period</w:t>
            </w:r>
            <w:r w:rsidRPr="00557B3D">
              <w:rPr>
                <w:rFonts w:ascii="Times New Roman" w:hAnsi="Times New Roman"/>
                <w:color w:val="000000"/>
                <w:sz w:val="24"/>
                <w:szCs w:val="24"/>
                <w:lang w:eastAsia="en-GB"/>
              </w:rPr>
              <w:t xml:space="preserve"> </w:t>
            </w:r>
          </w:p>
        </w:tc>
        <w:tc>
          <w:tcPr>
            <w:tcW w:w="7433" w:type="dxa"/>
          </w:tcPr>
          <w:p w:rsidR="00EA1399" w:rsidRPr="00776807" w:rsidRDefault="00EA1399" w:rsidP="00557B3D">
            <w:pPr>
              <w:rPr>
                <w:rFonts w:cs="Calibri"/>
                <w:lang w:eastAsia="en-GB"/>
              </w:rPr>
            </w:pPr>
            <w:r w:rsidRPr="00557B3D">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EA1399" w:rsidRPr="00776807" w:rsidRDefault="00EA1399" w:rsidP="00557B3D">
            <w:r w:rsidRPr="00776807">
              <w:rPr>
                <w:rFonts w:cs="Calibri"/>
                <w:lang w:eastAsia="en-GB"/>
              </w:rPr>
              <w:t>or speak to the practice.</w:t>
            </w:r>
          </w:p>
          <w:p w:rsidR="00EA1399" w:rsidRPr="008B3F9E" w:rsidRDefault="00EA1399" w:rsidP="00557B3D">
            <w:pPr>
              <w:rPr>
                <w:rFonts w:ascii="Times New Roman" w:hAnsi="Times New Roman"/>
                <w:color w:val="000000"/>
                <w:sz w:val="24"/>
                <w:szCs w:val="24"/>
                <w:lang w:eastAsia="en-GB"/>
              </w:rPr>
            </w:pPr>
          </w:p>
        </w:tc>
      </w:tr>
      <w:tr w:rsidR="00EA1399" w:rsidTr="00EA1399">
        <w:tc>
          <w:tcPr>
            <w:tcW w:w="1809" w:type="dxa"/>
          </w:tcPr>
          <w:p w:rsidR="00EA1399" w:rsidRPr="00557B3D"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9)  </w:t>
            </w:r>
            <w:r w:rsidRPr="00557B3D">
              <w:rPr>
                <w:rFonts w:ascii="Times New Roman" w:hAnsi="Times New Roman"/>
                <w:b/>
                <w:color w:val="000000"/>
                <w:sz w:val="24"/>
                <w:szCs w:val="24"/>
                <w:lang w:eastAsia="en-GB"/>
              </w:rPr>
              <w:t>Right to Complain</w:t>
            </w:r>
            <w:r w:rsidRPr="00557B3D">
              <w:rPr>
                <w:rFonts w:ascii="Times New Roman" w:hAnsi="Times New Roman"/>
                <w:color w:val="000000"/>
                <w:sz w:val="24"/>
                <w:szCs w:val="24"/>
                <w:lang w:eastAsia="en-GB"/>
              </w:rPr>
              <w:t xml:space="preserve">. </w:t>
            </w:r>
          </w:p>
        </w:tc>
        <w:tc>
          <w:tcPr>
            <w:tcW w:w="7433" w:type="dxa"/>
          </w:tcPr>
          <w:p w:rsidR="00EA1399" w:rsidRPr="008B3F9E" w:rsidRDefault="00EA1399"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8"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rsidR="00EA1399" w:rsidRPr="008B3F9E" w:rsidRDefault="00EA1399" w:rsidP="00557B3D">
            <w:pPr>
              <w:rPr>
                <w:rFonts w:ascii="Times New Roman" w:hAnsi="Times New Roman"/>
                <w:color w:val="000000"/>
                <w:sz w:val="24"/>
                <w:szCs w:val="24"/>
                <w:lang w:eastAsia="en-GB"/>
              </w:rPr>
            </w:pPr>
          </w:p>
          <w:p w:rsidR="00EA1399" w:rsidRPr="008B3F9E" w:rsidRDefault="00EA1399" w:rsidP="00557B3D">
            <w:pPr>
              <w:shd w:val="clear" w:color="auto" w:fill="FFFFFF"/>
              <w:spacing w:after="240"/>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0303 123 1113 (local rate) or 01625 545 745 (national rate) </w:t>
            </w:r>
          </w:p>
        </w:tc>
      </w:tr>
    </w:tbl>
    <w:p w:rsidR="00EA1399" w:rsidRDefault="00EA1399"/>
    <w:p w:rsidR="00EA1399" w:rsidRPr="009F4E45" w:rsidRDefault="00EA1399" w:rsidP="00EA1399">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EA1399" w:rsidRPr="009F4E45" w:rsidRDefault="00EA1399" w:rsidP="00EA1399">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EA1399" w:rsidRPr="009F4E45" w:rsidRDefault="00EA1399" w:rsidP="00EA1399">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EA1399" w:rsidRPr="009F4E45" w:rsidRDefault="00EA1399" w:rsidP="00EA1399">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EA1399" w:rsidRPr="009F4E45" w:rsidRDefault="00EA1399" w:rsidP="00EA1399">
      <w:pPr>
        <w:numPr>
          <w:ilvl w:val="0"/>
          <w:numId w:val="1"/>
        </w:numPr>
        <w:rPr>
          <w:rFonts w:ascii="Times New Roman" w:hAnsi="Times New Roman"/>
          <w:sz w:val="24"/>
          <w:szCs w:val="24"/>
        </w:rPr>
      </w:pPr>
      <w:r>
        <w:rPr>
          <w:rFonts w:ascii="Times New Roman" w:hAnsi="Times New Roman"/>
          <w:sz w:val="24"/>
          <w:szCs w:val="24"/>
        </w:rPr>
        <w:t>W</w:t>
      </w:r>
      <w:r w:rsidRPr="009F4E45">
        <w:rPr>
          <w:rFonts w:ascii="Times New Roman" w:hAnsi="Times New Roman"/>
          <w:sz w:val="24"/>
          <w:szCs w:val="24"/>
        </w:rPr>
        <w:t>here the individual to whom the information relates has consented;</w:t>
      </w:r>
    </w:p>
    <w:p w:rsidR="00EA1399" w:rsidRPr="009F4E45" w:rsidRDefault="00EA1399" w:rsidP="00EA1399">
      <w:pPr>
        <w:numPr>
          <w:ilvl w:val="0"/>
          <w:numId w:val="1"/>
        </w:numPr>
        <w:rPr>
          <w:rFonts w:ascii="Times New Roman" w:hAnsi="Times New Roman"/>
          <w:sz w:val="24"/>
          <w:szCs w:val="24"/>
        </w:rPr>
      </w:pPr>
      <w:r>
        <w:rPr>
          <w:rFonts w:ascii="Times New Roman" w:hAnsi="Times New Roman"/>
          <w:sz w:val="24"/>
          <w:szCs w:val="24"/>
        </w:rPr>
        <w:t>W</w:t>
      </w:r>
      <w:r w:rsidRPr="009F4E45">
        <w:rPr>
          <w:rFonts w:ascii="Times New Roman" w:hAnsi="Times New Roman"/>
          <w:sz w:val="24"/>
          <w:szCs w:val="24"/>
        </w:rPr>
        <w:t>here disclosure is in the public interest; and</w:t>
      </w:r>
    </w:p>
    <w:p w:rsidR="00EA1399" w:rsidRPr="009F4E45" w:rsidRDefault="00EA1399" w:rsidP="00EA1399">
      <w:pPr>
        <w:numPr>
          <w:ilvl w:val="0"/>
          <w:numId w:val="1"/>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rsidR="00EA1399" w:rsidRPr="003902E4" w:rsidRDefault="00EA1399" w:rsidP="00EA1399"/>
    <w:p w:rsidR="00EA1399" w:rsidRDefault="00EA1399"/>
    <w:sectPr w:rsidR="00EA13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0057A" w:rsidRDefault="0070057A" w:rsidP="00EA1399">
      <w:pPr>
        <w:spacing w:after="0" w:line="240" w:lineRule="auto"/>
      </w:pPr>
      <w:r>
        <w:separator/>
      </w:r>
    </w:p>
  </w:endnote>
  <w:endnote w:type="continuationSeparator" w:id="0">
    <w:p w:rsidR="0070057A" w:rsidRDefault="0070057A" w:rsidP="00EA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560655"/>
      <w:docPartObj>
        <w:docPartGallery w:val="Page Numbers (Bottom of Page)"/>
        <w:docPartUnique/>
      </w:docPartObj>
    </w:sdtPr>
    <w:sdtEndPr>
      <w:rPr>
        <w:noProof/>
      </w:rPr>
    </w:sdtEndPr>
    <w:sdtContent>
      <w:p w:rsidR="00EA1399" w:rsidRDefault="00EA1399">
        <w:pPr>
          <w:pStyle w:val="Footer"/>
          <w:jc w:val="right"/>
        </w:pPr>
        <w:r>
          <w:fldChar w:fldCharType="begin"/>
        </w:r>
        <w:r>
          <w:instrText xml:space="preserve"> PAGE   \* MERGEFORMAT </w:instrText>
        </w:r>
        <w:r>
          <w:fldChar w:fldCharType="separate"/>
        </w:r>
        <w:r w:rsidR="00725DCD">
          <w:rPr>
            <w:noProof/>
          </w:rPr>
          <w:t>2</w:t>
        </w:r>
        <w:r>
          <w:rPr>
            <w:noProof/>
          </w:rPr>
          <w:fldChar w:fldCharType="end"/>
        </w:r>
      </w:p>
    </w:sdtContent>
  </w:sdt>
  <w:p w:rsidR="00EA1399" w:rsidRDefault="00EA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0057A" w:rsidRDefault="0070057A" w:rsidP="00EA1399">
      <w:pPr>
        <w:spacing w:after="0" w:line="240" w:lineRule="auto"/>
      </w:pPr>
      <w:r>
        <w:separator/>
      </w:r>
    </w:p>
  </w:footnote>
  <w:footnote w:type="continuationSeparator" w:id="0">
    <w:p w:rsidR="0070057A" w:rsidRDefault="0070057A" w:rsidP="00EA1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04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99"/>
    <w:rsid w:val="00014F17"/>
    <w:rsid w:val="000E7FBD"/>
    <w:rsid w:val="00321838"/>
    <w:rsid w:val="004611D7"/>
    <w:rsid w:val="00544FDF"/>
    <w:rsid w:val="00646301"/>
    <w:rsid w:val="006C59B8"/>
    <w:rsid w:val="0070057A"/>
    <w:rsid w:val="00725DCD"/>
    <w:rsid w:val="00AE25C5"/>
    <w:rsid w:val="00BF3371"/>
    <w:rsid w:val="00BF4041"/>
    <w:rsid w:val="00CF1441"/>
    <w:rsid w:val="00E7381C"/>
    <w:rsid w:val="00EA1399"/>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4E68"/>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A1399"/>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EA1399"/>
    <w:rPr>
      <w:rFonts w:ascii="Calibri" w:eastAsia="Times New Roman" w:hAnsi="Calibri" w:cs="Times New Roman"/>
    </w:rPr>
  </w:style>
  <w:style w:type="paragraph" w:styleId="NormalWeb">
    <w:name w:val="Normal (Web)"/>
    <w:basedOn w:val="Normal"/>
    <w:uiPriority w:val="99"/>
    <w:semiHidden/>
    <w:rsid w:val="00EA1399"/>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Hyperlink">
    <w:name w:val="Hyperlink"/>
    <w:rsid w:val="00EA1399"/>
    <w:rPr>
      <w:rFonts w:cs="Times New Roman"/>
      <w:color w:val="0000FF"/>
      <w:u w:val="single"/>
    </w:rPr>
  </w:style>
  <w:style w:type="paragraph" w:styleId="Footer">
    <w:name w:val="footer"/>
    <w:basedOn w:val="Normal"/>
    <w:link w:val="FooterChar"/>
    <w:uiPriority w:val="99"/>
    <w:unhideWhenUsed/>
    <w:rsid w:val="00EA1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85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6958-39D5-4B65-AAA8-1E67E0A1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2025-04-16T10:03:00Z</dcterms:created>
  <dcterms:modified xsi:type="dcterms:W3CDTF">2025-04-16T10:03:00Z</dcterms:modified>
</cp:coreProperties>
</file>